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B7" w:rsidRDefault="00A9508C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DE73B7" w:rsidRDefault="00A9508C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DE73B7" w:rsidRDefault="00A9508C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Експертної служби МВС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DE73B7" w:rsidRDefault="00A9508C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DE73B7" w:rsidRDefault="00DE73B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A9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Реєстр ризиків Експертної служби МВС</w:t>
      </w:r>
    </w:p>
    <w:p w:rsidR="00DE73B7" w:rsidRDefault="00DE7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3113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505"/>
        <w:gridCol w:w="1933"/>
        <w:gridCol w:w="1811"/>
        <w:gridCol w:w="1546"/>
        <w:gridCol w:w="1774"/>
        <w:gridCol w:w="1703"/>
        <w:gridCol w:w="2127"/>
        <w:gridCol w:w="1385"/>
        <w:gridCol w:w="1504"/>
        <w:gridCol w:w="9"/>
        <w:gridCol w:w="1881"/>
        <w:gridCol w:w="12"/>
        <w:gridCol w:w="1940"/>
        <w:gridCol w:w="9"/>
        <w:gridCol w:w="1925"/>
        <w:gridCol w:w="18"/>
        <w:gridCol w:w="1940"/>
        <w:gridCol w:w="9"/>
        <w:gridCol w:w="1924"/>
        <w:gridCol w:w="13"/>
        <w:gridCol w:w="1924"/>
        <w:gridCol w:w="9"/>
        <w:gridCol w:w="1940"/>
        <w:gridCol w:w="16"/>
        <w:gridCol w:w="2042"/>
        <w:gridCol w:w="236"/>
      </w:tblGrid>
      <w:tr w:rsidR="00DE73B7">
        <w:tc>
          <w:tcPr>
            <w:tcW w:w="1506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12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-го ризику</w:t>
            </w:r>
          </w:p>
        </w:tc>
        <w:tc>
          <w:tcPr>
            <w:tcW w:w="1547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-го ризику</w:t>
            </w:r>
          </w:p>
        </w:tc>
        <w:tc>
          <w:tcPr>
            <w:tcW w:w="1775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03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2127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385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1504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-ний ризик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06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302" w:type="dxa"/>
            <w:gridSpan w:val="10"/>
          </w:tcPr>
          <w:p w:rsidR="00DE73B7" w:rsidRDefault="00A9508C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06" w:type="dxa"/>
          </w:tcPr>
          <w:p w:rsidR="00DE73B7" w:rsidRDefault="00A9508C">
            <w:pPr>
              <w:pStyle w:val="af4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34" w:type="dxa"/>
          </w:tcPr>
          <w:p w:rsidR="00DE73B7" w:rsidRDefault="00A9508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>
              <w:rPr>
                <w:rFonts w:ascii="Times New Roman" w:eastAsia="Calibri" w:hAnsi="Times New Roman" w:cs="Times New Roman"/>
                <w:lang w:eastAsia="uk-UA"/>
              </w:rPr>
              <w:t>встановлення керівниками установ Експертної служби МВС надбавок, визначення розміру премій працівникам.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Не- доброчесність посадових осіб, бажання отримати особисту вигоду або сприяти отриманню вигоди, не- обґрунтоване рішення  про встановлення зазначених виплат та підстав для їх прийняття</w:t>
            </w:r>
          </w:p>
        </w:tc>
        <w:tc>
          <w:tcPr>
            <w:tcW w:w="1547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Низький</w:t>
            </w:r>
          </w:p>
        </w:tc>
        <w:tc>
          <w:tcPr>
            <w:tcW w:w="1775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03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Щопівріччя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ВФЗБО НДЕКЦ МВС, ДНДЕКЦ МВС, уповноважені</w:t>
            </w:r>
          </w:p>
        </w:tc>
        <w:tc>
          <w:tcPr>
            <w:tcW w:w="1385" w:type="dxa"/>
          </w:tcPr>
          <w:p w:rsidR="00DE73B7" w:rsidRDefault="00A9508C">
            <w:pPr>
              <w:widowControl w:val="0"/>
              <w:spacing w:after="0" w:line="240" w:lineRule="auto"/>
              <w:ind w:left="57" w:right="-113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потребує додаткових ресурсів</w:t>
            </w:r>
          </w:p>
        </w:tc>
        <w:tc>
          <w:tcPr>
            <w:tcW w:w="1504" w:type="dxa"/>
          </w:tcPr>
          <w:p w:rsidR="00DE73B7" w:rsidRDefault="00A9508C">
            <w:pPr>
              <w:widowControl w:val="0"/>
              <w:spacing w:after="0" w:line="240" w:lineRule="auto"/>
              <w:ind w:left="-53" w:right="-10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Доповідні записки про </w:t>
            </w:r>
          </w:p>
          <w:p w:rsidR="00DE73B7" w:rsidRDefault="00A9508C">
            <w:pPr>
              <w:widowControl w:val="0"/>
              <w:spacing w:after="0" w:line="240" w:lineRule="auto"/>
              <w:ind w:left="-53" w:right="-10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вимог нормативних документів, що регламенту-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порядок преміювання, встановлення надбавок, переміщення та призначення.</w:t>
            </w:r>
          </w:p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Уникнення конфлікту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інтересів.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302" w:type="dxa"/>
            <w:gridSpan w:val="10"/>
          </w:tcPr>
          <w:p w:rsidR="00DE73B7" w:rsidRDefault="00A9508C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E73B7">
        <w:trPr>
          <w:trHeight w:val="6678"/>
        </w:trPr>
        <w:tc>
          <w:tcPr>
            <w:tcW w:w="1506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Планування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>, формування оголошення щодо закупівлі.</w:t>
            </w:r>
          </w:p>
        </w:tc>
        <w:tc>
          <w:tcPr>
            <w:tcW w:w="1934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12" w:type="dxa"/>
          </w:tcPr>
          <w:p w:rsidR="00DE73B7" w:rsidRDefault="00A950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осіб.</w:t>
            </w:r>
          </w:p>
        </w:tc>
        <w:tc>
          <w:tcPr>
            <w:tcW w:w="1547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Низький</w:t>
            </w:r>
          </w:p>
        </w:tc>
        <w:tc>
          <w:tcPr>
            <w:tcW w:w="1775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Контроль з боку керівника структурного підрозділу,  який ініціює закупівлю,  та уповноваженої особи із питань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>.</w:t>
            </w:r>
          </w:p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03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При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2127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Відповідальний структурний підрозділ, який ініціює закупівлю, та уповноважена особа з питань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закупівель</w:t>
            </w:r>
            <w:proofErr w:type="spellEnd"/>
          </w:p>
        </w:tc>
        <w:tc>
          <w:tcPr>
            <w:tcW w:w="1385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1504" w:type="dxa"/>
          </w:tcPr>
          <w:p w:rsidR="00DE73B7" w:rsidRDefault="00A9508C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Доповідні записки про контроль вартості закупівлі   що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lang w:eastAsia="uk-UA"/>
              </w:rPr>
              <w:t>відповідає вимогам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</w:t>
            </w:r>
            <w:r>
              <w:rPr>
                <w:rFonts w:ascii="Times New Roman" w:eastAsia="Calibri" w:hAnsi="Times New Roman" w:cs="Times New Roman"/>
                <w:color w:val="00B050"/>
                <w:lang w:eastAsia="uk-UA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302" w:type="dxa"/>
            <w:gridSpan w:val="10"/>
          </w:tcPr>
          <w:p w:rsidR="00DE73B7" w:rsidRDefault="00A9508C">
            <w:pPr>
              <w:widowControl w:val="0"/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06" w:type="dxa"/>
          </w:tcPr>
          <w:p w:rsidR="00DE73B7" w:rsidRDefault="00A9508C">
            <w:pPr>
              <w:widowControl w:val="0"/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Прийом на роботу, переміщення та призначення  на вищі посади,  </w:t>
            </w:r>
            <w:r>
              <w:rPr>
                <w:rFonts w:ascii="Times New Roman" w:eastAsia="Calibri" w:hAnsi="Times New Roman" w:cs="Times New Roman"/>
              </w:rPr>
              <w:lastRenderedPageBreak/>
              <w:t>переведення в інші установи працівників Експертної служби МВС</w:t>
            </w:r>
          </w:p>
        </w:tc>
        <w:tc>
          <w:tcPr>
            <w:tcW w:w="1934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Можливий вплив посадових осіб на процедуру відбору персоналу з метою сприяння прийняттю на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роботу, переміщення по посадах (підвищення на посаді, пониження на посаді, переведення в інший підрозділ) </w:t>
            </w:r>
          </w:p>
        </w:tc>
        <w:tc>
          <w:tcPr>
            <w:tcW w:w="1812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Дискреційні повноваження при прийомі на роботу та переміщенні по посадах</w:t>
            </w:r>
          </w:p>
        </w:tc>
        <w:tc>
          <w:tcPr>
            <w:tcW w:w="1547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Низький</w:t>
            </w:r>
          </w:p>
        </w:tc>
        <w:tc>
          <w:tcPr>
            <w:tcW w:w="1775" w:type="dxa"/>
          </w:tcPr>
          <w:p w:rsidR="00DE73B7" w:rsidRDefault="00A9508C">
            <w:pPr>
              <w:widowControl w:val="0"/>
              <w:spacing w:after="0" w:line="240" w:lineRule="atLeast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Запровадження обов’язкової чіткої і прозорої процедури добору персоналу на різні категорії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посад за уніфікованими формами кадрових документів у всіх підрозділах та за всіма напрямами роботи.</w:t>
            </w:r>
          </w:p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03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 прийомі на роботу  та переміщенні по посадах</w:t>
            </w:r>
          </w:p>
        </w:tc>
        <w:tc>
          <w:tcPr>
            <w:tcW w:w="2127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Керівники кадрових підрозділів, атестаційні комісії, уповноважені з антикорупційної діяльності</w:t>
            </w:r>
          </w:p>
        </w:tc>
        <w:tc>
          <w:tcPr>
            <w:tcW w:w="1385" w:type="dxa"/>
          </w:tcPr>
          <w:p w:rsidR="00DE73B7" w:rsidRDefault="00A9508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1504" w:type="dxa"/>
          </w:tcPr>
          <w:p w:rsidR="00DE73B7" w:rsidRDefault="00A9508C">
            <w:pPr>
              <w:widowControl w:val="0"/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Контроль призначення на посаду претендента, який відповідає встановленим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>кваліфікацій-ним вимогам</w:t>
            </w:r>
          </w:p>
          <w:p w:rsidR="00DE73B7" w:rsidRDefault="00A9508C">
            <w:pPr>
              <w:widowControl w:val="0"/>
              <w:spacing w:after="0" w:line="240" w:lineRule="auto"/>
              <w:ind w:right="-58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Недопущення конфлікту інтересів, іншого впливу посадових осіб на процедуру відбору персоналу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302" w:type="dxa"/>
            <w:gridSpan w:val="10"/>
          </w:tcPr>
          <w:p w:rsidR="00DE73B7" w:rsidRDefault="00A95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4. Судово-експертна діяльність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E73B7">
        <w:tc>
          <w:tcPr>
            <w:tcW w:w="1506" w:type="dxa"/>
          </w:tcPr>
          <w:p w:rsidR="00DE73B7" w:rsidRDefault="00A9508C">
            <w:pPr>
              <w:widowControl w:val="0"/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Експертне дослідження транспортного засобу і реєстраційних документів на транспортний засіб із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видачею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34" w:type="dxa"/>
          </w:tcPr>
          <w:p w:rsidR="00DE73B7" w:rsidRDefault="00A9508C">
            <w:pPr>
              <w:widowControl w:val="0"/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</w:t>
            </w: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документів, що його супроводжує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(не- належне виконання своїх обов’язків, недбалість у діях працівника), не- вжиття заходів при виявленні зміненого ідентифікаційного номера, внесення в базу даних.</w:t>
            </w: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 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замовником.</w:t>
            </w:r>
          </w:p>
          <w:p w:rsidR="00DE73B7" w:rsidRDefault="00A95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2.Можливість фальсифікації або недбалість при дослідженні документів, що супроводжують транспортний засіб, та перевірка інформації про транспортний засіб за наявними базами даних.</w:t>
            </w:r>
          </w:p>
          <w:p w:rsidR="00DE73B7" w:rsidRDefault="00A95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дослідження та унесення їх до відповідних баз даних.</w:t>
            </w:r>
          </w:p>
        </w:tc>
        <w:tc>
          <w:tcPr>
            <w:tcW w:w="1547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Високий</w:t>
            </w:r>
          </w:p>
        </w:tc>
        <w:tc>
          <w:tcPr>
            <w:tcW w:w="1775" w:type="dxa"/>
          </w:tcPr>
          <w:p w:rsidR="00DE73B7" w:rsidRDefault="00A9508C">
            <w:pPr>
              <w:pStyle w:val="af4"/>
              <w:widowControl w:val="0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обладнано системами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відеонагляду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та засобами індивідуального </w:t>
            </w:r>
            <w:r>
              <w:rPr>
                <w:rFonts w:ascii="Times New Roman" w:eastAsia="Calibri" w:hAnsi="Times New Roman" w:cs="Times New Roman"/>
                <w:lang w:eastAsia="uk-UA"/>
              </w:rPr>
              <w:lastRenderedPageBreak/>
              <w:t xml:space="preserve">обладнання для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. (Наказ Експертної служби МВС від 27.09.2022 № 20-ЕС-Н «Про затвердження Порядку зберігання та використання засобів індивідуального обладнання для </w:t>
            </w:r>
            <w:proofErr w:type="spellStart"/>
            <w:r>
              <w:rPr>
                <w:rFonts w:ascii="Times New Roman" w:eastAsia="Calibri" w:hAnsi="Times New Roman" w:cs="Times New Roman"/>
                <w:lang w:eastAsia="uk-UA"/>
              </w:rPr>
              <w:t>відеореєстрації</w:t>
            </w:r>
            <w:proofErr w:type="spellEnd"/>
            <w:r>
              <w:rPr>
                <w:rFonts w:ascii="Times New Roman" w:eastAsia="Calibri" w:hAnsi="Times New Roman" w:cs="Times New Roman"/>
                <w:lang w:eastAsia="uk-UA"/>
              </w:rPr>
              <w:t xml:space="preserve">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органах з надання сервісних послуг МВС»).</w:t>
            </w:r>
          </w:p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 </w:t>
            </w:r>
          </w:p>
        </w:tc>
        <w:tc>
          <w:tcPr>
            <w:tcW w:w="1703" w:type="dxa"/>
          </w:tcPr>
          <w:p w:rsidR="00DE73B7" w:rsidRDefault="00A9508C">
            <w:pPr>
              <w:pStyle w:val="af4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Постійно,</w:t>
            </w:r>
          </w:p>
          <w:p w:rsidR="00DE73B7" w:rsidRDefault="00A9508C">
            <w:pPr>
              <w:pStyle w:val="af4"/>
              <w:widowControl w:val="0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щоквартальне звітування до 5 квітня,</w:t>
            </w:r>
          </w:p>
          <w:p w:rsidR="00DE73B7" w:rsidRDefault="00A9508C">
            <w:pPr>
              <w:pStyle w:val="af4"/>
              <w:widowControl w:val="0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 липня, 5 вересня, 5 грудня,</w:t>
            </w:r>
          </w:p>
          <w:p w:rsidR="00DE73B7" w:rsidRDefault="00A9508C">
            <w:pPr>
              <w:pStyle w:val="af4"/>
              <w:widowControl w:val="0"/>
              <w:ind w:right="5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узагальнення інформації</w:t>
            </w:r>
          </w:p>
          <w:p w:rsidR="00DE73B7" w:rsidRDefault="00DE73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DE73B7" w:rsidRDefault="00A950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НДЕКЦ МВС, лабораторія криміналістичного дослідження транспортних засобів та ведення реєстрів ДНДЕКЦ МВС, СПЗК ДНДЕКЦ МВС</w:t>
            </w:r>
          </w:p>
        </w:tc>
        <w:tc>
          <w:tcPr>
            <w:tcW w:w="1385" w:type="dxa"/>
          </w:tcPr>
          <w:p w:rsidR="00DE73B7" w:rsidRDefault="00A9508C">
            <w:pPr>
              <w:widowControl w:val="0"/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1504" w:type="dxa"/>
          </w:tcPr>
          <w:p w:rsidR="00DE73B7" w:rsidRDefault="00A950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Доповідні  та довідки за результатами перевірок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DE73B7" w:rsidRDefault="00DE73B7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:rsidR="00DE73B7" w:rsidRDefault="00DE73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73B7" w:rsidRDefault="00DE73B7">
      <w:pPr>
        <w:spacing w:after="0" w:line="240" w:lineRule="auto"/>
        <w:jc w:val="right"/>
        <w:rPr>
          <w:sz w:val="28"/>
          <w:szCs w:val="28"/>
        </w:rPr>
      </w:pPr>
    </w:p>
    <w:p w:rsidR="00DE73B7" w:rsidRDefault="00A9508C">
      <w:pPr>
        <w:pStyle w:val="22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Завідувач сектору з питань</w:t>
      </w:r>
    </w:p>
    <w:p w:rsidR="00DE73B7" w:rsidRDefault="00A9508C">
      <w:pPr>
        <w:pStyle w:val="22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                                            Андрій ДУБЧАК</w:t>
      </w: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p w:rsidR="00DE73B7" w:rsidRDefault="00DE73B7">
      <w:pPr>
        <w:spacing w:after="0" w:line="240" w:lineRule="auto"/>
        <w:ind w:left="10915" w:firstLine="708"/>
        <w:rPr>
          <w:rFonts w:ascii="Times New Roman" w:hAnsi="Times New Roman" w:cs="Times New Roman"/>
          <w:sz w:val="24"/>
          <w:szCs w:val="24"/>
        </w:rPr>
      </w:pPr>
    </w:p>
    <w:sectPr w:rsidR="00DE73B7">
      <w:pgSz w:w="16838" w:h="11906" w:orient="landscape"/>
      <w:pgMar w:top="851" w:right="253" w:bottom="156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7"/>
    <w:rsid w:val="00A9508C"/>
    <w:rsid w:val="00D2747E"/>
    <w:rsid w:val="00D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22905-1270-4A84-8A40-CE3A2A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ви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у виносці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character" w:customStyle="1" w:styleId="21">
    <w:name w:val="Основний текст з відступом 2 Знак"/>
    <w:basedOn w:val="a0"/>
    <w:link w:val="22"/>
    <w:uiPriority w:val="99"/>
    <w:qFormat/>
    <w:rsid w:val="00F04D25"/>
    <w:rPr>
      <w:lang w:val="uk-UA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2">
    <w:name w:val="Покажчик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FA4652"/>
    <w:rPr>
      <w:lang w:val="uk-UA"/>
    </w:rPr>
  </w:style>
  <w:style w:type="paragraph" w:styleId="22">
    <w:name w:val="Body Text Indent 2"/>
    <w:basedOn w:val="a"/>
    <w:link w:val="21"/>
    <w:uiPriority w:val="99"/>
    <w:unhideWhenUsed/>
    <w:qFormat/>
    <w:rsid w:val="00F04D25"/>
    <w:pPr>
      <w:spacing w:after="120" w:line="480" w:lineRule="auto"/>
      <w:ind w:left="283"/>
    </w:pPr>
  </w:style>
  <w:style w:type="table" w:styleId="af5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55AD-584F-4E1C-8C9A-E18D1191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3894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DSIT-3</cp:lastModifiedBy>
  <cp:revision>2</cp:revision>
  <cp:lastPrinted>2023-02-07T08:19:00Z</cp:lastPrinted>
  <dcterms:created xsi:type="dcterms:W3CDTF">2023-09-18T08:58:00Z</dcterms:created>
  <dcterms:modified xsi:type="dcterms:W3CDTF">2023-09-18T08:58:00Z</dcterms:modified>
  <dc:language>uk-UA</dc:language>
</cp:coreProperties>
</file>